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1EB3" w14:textId="77777777" w:rsidR="00A13085" w:rsidRPr="00A13085" w:rsidRDefault="00A13085" w:rsidP="00A13085">
      <w:pPr>
        <w:shd w:val="clear" w:color="auto" w:fill="FFFFFF"/>
        <w:spacing w:before="300" w:after="150" w:line="450" w:lineRule="atLeast"/>
        <w:outlineLvl w:val="0"/>
        <w:rPr>
          <w:rFonts w:ascii="Times New Roman" w:eastAsia="Times New Roman" w:hAnsi="Times New Roman" w:cs="Times New Roman"/>
          <w:color w:val="333333"/>
          <w:kern w:val="36"/>
          <w:sz w:val="36"/>
          <w:szCs w:val="36"/>
          <w:lang w:eastAsia="en-GB"/>
        </w:rPr>
      </w:pPr>
      <w:r w:rsidRPr="00A13085">
        <w:rPr>
          <w:rFonts w:ascii="Times New Roman" w:eastAsia="Times New Roman" w:hAnsi="Times New Roman" w:cs="Times New Roman"/>
          <w:color w:val="333333"/>
          <w:kern w:val="36"/>
          <w:sz w:val="36"/>
          <w:szCs w:val="36"/>
          <w:lang w:eastAsia="en-GB"/>
        </w:rPr>
        <w:t>Jeremy Lewis The Shoulder: Theory &amp; Practice evidence based shoulder courses online</w:t>
      </w:r>
    </w:p>
    <w:p w14:paraId="34E284B5" w14:textId="77777777" w:rsidR="00A13085" w:rsidRPr="00A13085" w:rsidRDefault="00A13085" w:rsidP="00A13085">
      <w:pPr>
        <w:shd w:val="clear" w:color="auto" w:fill="FFFFFF"/>
        <w:spacing w:after="300" w:line="420" w:lineRule="atLeast"/>
        <w:rPr>
          <w:rFonts w:ascii="Times New Roman" w:eastAsia="Times New Roman" w:hAnsi="Times New Roman" w:cs="Times New Roman"/>
          <w:color w:val="333333"/>
          <w:sz w:val="27"/>
          <w:szCs w:val="27"/>
          <w:lang w:eastAsia="en-GB"/>
        </w:rPr>
      </w:pPr>
      <w:r w:rsidRPr="00A13085">
        <w:rPr>
          <w:rFonts w:ascii="Times New Roman" w:eastAsia="Times New Roman" w:hAnsi="Times New Roman" w:cs="Times New Roman"/>
          <w:color w:val="333333"/>
          <w:sz w:val="27"/>
          <w:szCs w:val="27"/>
          <w:lang w:eastAsia="en-GB"/>
        </w:rPr>
        <w:t>A biopsychosocial approach for the assessment and management of musculoskeletal conditions involving the shoulder region. Taught worldwide in over 40 countries, this course is continually updated, integrating the latest research evidence</w:t>
      </w:r>
    </w:p>
    <w:p w14:paraId="7109D8C3" w14:textId="77777777" w:rsidR="00A13085" w:rsidRPr="00A13085" w:rsidRDefault="00A13085" w:rsidP="00A13085">
      <w:pPr>
        <w:shd w:val="clear" w:color="auto" w:fill="FFFFFF"/>
        <w:spacing w:after="300" w:line="420" w:lineRule="atLeast"/>
        <w:rPr>
          <w:rFonts w:ascii="Times New Roman" w:eastAsia="Times New Roman" w:hAnsi="Times New Roman" w:cs="Times New Roman"/>
          <w:color w:val="333333"/>
          <w:sz w:val="27"/>
          <w:szCs w:val="27"/>
          <w:lang w:eastAsia="en-GB"/>
        </w:rPr>
      </w:pPr>
      <w:r w:rsidRPr="00A13085">
        <w:rPr>
          <w:rFonts w:ascii="Times New Roman" w:eastAsia="Times New Roman" w:hAnsi="Times New Roman" w:cs="Times New Roman"/>
          <w:color w:val="333333"/>
          <w:sz w:val="27"/>
          <w:szCs w:val="27"/>
          <w:lang w:eastAsia="en-GB"/>
        </w:rPr>
        <w:t>In addition to assessment &amp; management of the shoulder region, this course synthesises the complex relationships between; the shoulder &amp; body biomechanics, pain science, lifestyle, patient psychosocial factors, beliefs &amp; expectations, best practice, &amp; more ...and is guaranteed to be fun</w:t>
      </w:r>
    </w:p>
    <w:p w14:paraId="21CD95D8" w14:textId="77777777" w:rsidR="00A13085" w:rsidRPr="00A13085" w:rsidRDefault="00A13085" w:rsidP="00A13085">
      <w:pPr>
        <w:shd w:val="clear" w:color="auto" w:fill="FFFFFF"/>
        <w:spacing w:after="300" w:line="420" w:lineRule="atLeast"/>
        <w:rPr>
          <w:rFonts w:ascii="Times New Roman" w:eastAsia="Times New Roman" w:hAnsi="Times New Roman" w:cs="Times New Roman"/>
          <w:color w:val="333333"/>
          <w:sz w:val="27"/>
          <w:szCs w:val="27"/>
          <w:lang w:eastAsia="en-GB"/>
        </w:rPr>
      </w:pPr>
      <w:r w:rsidRPr="00A13085">
        <w:rPr>
          <w:rFonts w:ascii="Times New Roman" w:eastAsia="Times New Roman" w:hAnsi="Times New Roman" w:cs="Times New Roman"/>
          <w:color w:val="333333"/>
          <w:sz w:val="27"/>
          <w:szCs w:val="27"/>
          <w:lang w:eastAsia="en-GB"/>
        </w:rPr>
        <w:t>This course remains a ‘work in progress’ and is continually being updated with the emergence of new research and clinical understanding. As a result, many people have participated on two and some on three occasions. This course will be thought provoking and provide opportunity to discuss ideas and share experiences.</w:t>
      </w:r>
    </w:p>
    <w:p w14:paraId="66FA539C" w14:textId="77777777" w:rsidR="00A13085" w:rsidRPr="00A13085" w:rsidRDefault="00A13085" w:rsidP="00A13085">
      <w:pPr>
        <w:shd w:val="clear" w:color="auto" w:fill="FFFFFF"/>
        <w:spacing w:after="300" w:line="420" w:lineRule="atLeast"/>
        <w:rPr>
          <w:rFonts w:ascii="Times New Roman" w:eastAsia="Times New Roman" w:hAnsi="Times New Roman" w:cs="Times New Roman"/>
          <w:color w:val="333333"/>
          <w:sz w:val="27"/>
          <w:szCs w:val="27"/>
          <w:lang w:eastAsia="en-GB"/>
        </w:rPr>
      </w:pPr>
      <w:r w:rsidRPr="00A13085">
        <w:rPr>
          <w:rFonts w:ascii="Times New Roman" w:eastAsia="Times New Roman" w:hAnsi="Times New Roman" w:cs="Times New Roman"/>
          <w:color w:val="333333"/>
          <w:sz w:val="27"/>
          <w:szCs w:val="27"/>
          <w:lang w:eastAsia="en-GB"/>
        </w:rPr>
        <w:t>Feedback: “Fantastic course as example of how to treat within the biopsychosocial model. A very competent and relevant approach with respect to where physiotherapy is at currently. The shoulder provides the topic but the clinical processing could be applied elsewhere. I don't think anyone is teaching such a balanced approach currently”.</w:t>
      </w:r>
    </w:p>
    <w:p w14:paraId="2C668734" w14:textId="77777777" w:rsidR="00A13085" w:rsidRPr="00A13085" w:rsidRDefault="00A13085" w:rsidP="00A13085">
      <w:pPr>
        <w:shd w:val="clear" w:color="auto" w:fill="FFFFFF"/>
        <w:spacing w:after="300" w:line="420" w:lineRule="atLeast"/>
        <w:rPr>
          <w:rFonts w:ascii="Times New Roman" w:eastAsia="Times New Roman" w:hAnsi="Times New Roman" w:cs="Times New Roman"/>
          <w:color w:val="333333"/>
          <w:sz w:val="27"/>
          <w:szCs w:val="27"/>
          <w:lang w:eastAsia="en-GB"/>
        </w:rPr>
      </w:pPr>
      <w:r w:rsidRPr="00A13085">
        <w:rPr>
          <w:rFonts w:ascii="Times New Roman" w:eastAsia="Times New Roman" w:hAnsi="Times New Roman" w:cs="Times New Roman"/>
          <w:color w:val="333333"/>
          <w:sz w:val="27"/>
          <w:szCs w:val="27"/>
          <w:lang w:eastAsia="en-GB"/>
        </w:rPr>
        <w:t>Learning Outcomes</w:t>
      </w:r>
    </w:p>
    <w:p w14:paraId="745D8F35" w14:textId="77777777" w:rsidR="00A13085" w:rsidRPr="00A13085" w:rsidRDefault="00A13085" w:rsidP="00A13085">
      <w:pPr>
        <w:shd w:val="clear" w:color="auto" w:fill="FFFFFF"/>
        <w:spacing w:after="300" w:line="420" w:lineRule="atLeast"/>
        <w:rPr>
          <w:rFonts w:ascii="Times New Roman" w:eastAsia="Times New Roman" w:hAnsi="Times New Roman" w:cs="Times New Roman"/>
          <w:color w:val="333333"/>
          <w:sz w:val="27"/>
          <w:szCs w:val="27"/>
          <w:lang w:eastAsia="en-GB"/>
        </w:rPr>
      </w:pPr>
      <w:r w:rsidRPr="00A13085">
        <w:rPr>
          <w:rFonts w:ascii="Times New Roman" w:eastAsia="Times New Roman" w:hAnsi="Times New Roman" w:cs="Times New Roman"/>
          <w:color w:val="333333"/>
          <w:sz w:val="27"/>
          <w:szCs w:val="27"/>
          <w:lang w:eastAsia="en-GB"/>
        </w:rPr>
        <w:t>1. To develop a better understanding and knowledge of the clinical anatomy and biomechanics of the shoulder region.</w:t>
      </w:r>
      <w:r w:rsidRPr="00A13085">
        <w:rPr>
          <w:rFonts w:ascii="Times New Roman" w:eastAsia="Times New Roman" w:hAnsi="Times New Roman" w:cs="Times New Roman"/>
          <w:color w:val="333333"/>
          <w:sz w:val="27"/>
          <w:szCs w:val="27"/>
          <w:lang w:eastAsia="en-GB"/>
        </w:rPr>
        <w:br/>
        <w:t>2. To appreciate the importance of taking a biopsychosocial approach to patient management.</w:t>
      </w:r>
      <w:r w:rsidRPr="00A13085">
        <w:rPr>
          <w:rFonts w:ascii="Times New Roman" w:eastAsia="Times New Roman" w:hAnsi="Times New Roman" w:cs="Times New Roman"/>
          <w:color w:val="333333"/>
          <w:sz w:val="27"/>
          <w:szCs w:val="27"/>
          <w:lang w:eastAsia="en-GB"/>
        </w:rPr>
        <w:br/>
        <w:t>3. To develop a comprehensive subjective and physical evaluation strategy for the shoulder that considers local and referred sources of pain and directs the clinician to develop an appropriate management plan.</w:t>
      </w:r>
      <w:r w:rsidRPr="00A13085">
        <w:rPr>
          <w:rFonts w:ascii="Times New Roman" w:eastAsia="Times New Roman" w:hAnsi="Times New Roman" w:cs="Times New Roman"/>
          <w:color w:val="333333"/>
          <w:sz w:val="27"/>
          <w:szCs w:val="27"/>
          <w:lang w:eastAsia="en-GB"/>
        </w:rPr>
        <w:br/>
        <w:t xml:space="preserve">4. To develop greater confidence with the physical assessment of the shoulder </w:t>
      </w:r>
      <w:r w:rsidRPr="00A13085">
        <w:rPr>
          <w:rFonts w:ascii="Times New Roman" w:eastAsia="Times New Roman" w:hAnsi="Times New Roman" w:cs="Times New Roman"/>
          <w:color w:val="333333"/>
          <w:sz w:val="27"/>
          <w:szCs w:val="27"/>
          <w:lang w:eastAsia="en-GB"/>
        </w:rPr>
        <w:lastRenderedPageBreak/>
        <w:t>region and a better understanding of the evidence for the use of the selected assessment techniques.</w:t>
      </w:r>
      <w:r w:rsidRPr="00A13085">
        <w:rPr>
          <w:rFonts w:ascii="Times New Roman" w:eastAsia="Times New Roman" w:hAnsi="Times New Roman" w:cs="Times New Roman"/>
          <w:color w:val="333333"/>
          <w:sz w:val="27"/>
          <w:szCs w:val="27"/>
          <w:lang w:eastAsia="en-GB"/>
        </w:rPr>
        <w:br/>
        <w:t>5. To develop a greater understanding and knowledge of various pathologies of the shoulder region.</w:t>
      </w:r>
      <w:r w:rsidRPr="00A13085">
        <w:rPr>
          <w:rFonts w:ascii="Times New Roman" w:eastAsia="Times New Roman" w:hAnsi="Times New Roman" w:cs="Times New Roman"/>
          <w:color w:val="333333"/>
          <w:sz w:val="27"/>
          <w:szCs w:val="27"/>
          <w:lang w:eastAsia="en-GB"/>
        </w:rPr>
        <w:br/>
        <w:t>6. To develop greater competency in the management of patients with a variety of shoulder pathologies.</w:t>
      </w:r>
      <w:r w:rsidRPr="00A13085">
        <w:rPr>
          <w:rFonts w:ascii="Times New Roman" w:eastAsia="Times New Roman" w:hAnsi="Times New Roman" w:cs="Times New Roman"/>
          <w:color w:val="333333"/>
          <w:sz w:val="27"/>
          <w:szCs w:val="27"/>
          <w:lang w:eastAsia="en-GB"/>
        </w:rPr>
        <w:br/>
        <w:t>7. To review the research evidence relating to the influence of posture and muscle imbalance and its relationship with shoulder pathology.</w:t>
      </w:r>
      <w:r w:rsidRPr="00A13085">
        <w:rPr>
          <w:rFonts w:ascii="Times New Roman" w:eastAsia="Times New Roman" w:hAnsi="Times New Roman" w:cs="Times New Roman"/>
          <w:color w:val="333333"/>
          <w:sz w:val="27"/>
          <w:szCs w:val="27"/>
          <w:lang w:eastAsia="en-GB"/>
        </w:rPr>
        <w:br/>
        <w:t>8. To review the evidence underpinning the pathology, and the assessment and management of various shoulder conditions, including rotator cuff related shoulder pain and frozen shoulder</w:t>
      </w:r>
      <w:r w:rsidRPr="00A13085">
        <w:rPr>
          <w:rFonts w:ascii="Times New Roman" w:eastAsia="Times New Roman" w:hAnsi="Times New Roman" w:cs="Times New Roman"/>
          <w:color w:val="333333"/>
          <w:sz w:val="27"/>
          <w:szCs w:val="27"/>
          <w:lang w:eastAsia="en-GB"/>
        </w:rPr>
        <w:br/>
        <w:t>9. To review the research evidence evaluating the use of diagnostic imaging as part of the management for musculoskeletal disorders of the shoulder.</w:t>
      </w:r>
      <w:r w:rsidRPr="00A13085">
        <w:rPr>
          <w:rFonts w:ascii="Times New Roman" w:eastAsia="Times New Roman" w:hAnsi="Times New Roman" w:cs="Times New Roman"/>
          <w:color w:val="333333"/>
          <w:sz w:val="27"/>
          <w:szCs w:val="27"/>
          <w:lang w:eastAsia="en-GB"/>
        </w:rPr>
        <w:br/>
        <w:t>10. To review the research evidence evaluating the use of injections as part of the management for musculoskeletal disorders of the shoulder.</w:t>
      </w:r>
      <w:r w:rsidRPr="00A13085">
        <w:rPr>
          <w:rFonts w:ascii="Times New Roman" w:eastAsia="Times New Roman" w:hAnsi="Times New Roman" w:cs="Times New Roman"/>
          <w:color w:val="333333"/>
          <w:sz w:val="27"/>
          <w:szCs w:val="27"/>
          <w:lang w:eastAsia="en-GB"/>
        </w:rPr>
        <w:br/>
        <w:t>11. To develop greater confidence in the use of exercise therapy and other techniques for managing shoulder conditions and evaluation of the efficacy of the techniques, balanced against the evidence base for using these techniques.</w:t>
      </w:r>
    </w:p>
    <w:p w14:paraId="444BE2BC" w14:textId="77777777" w:rsidR="00A13085" w:rsidRPr="00A13085" w:rsidRDefault="00A13085" w:rsidP="00A13085">
      <w:pPr>
        <w:rPr>
          <w:rFonts w:ascii="Times New Roman" w:eastAsia="Times New Roman" w:hAnsi="Times New Roman" w:cs="Times New Roman"/>
          <w:lang w:eastAsia="en-GB"/>
        </w:rPr>
      </w:pPr>
    </w:p>
    <w:p w14:paraId="1B2E4CBD" w14:textId="77777777" w:rsidR="002B78D2" w:rsidRDefault="00A13085"/>
    <w:sectPr w:rsidR="002B7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85"/>
    <w:rsid w:val="00156FC6"/>
    <w:rsid w:val="0018004E"/>
    <w:rsid w:val="00A1308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9334BCF"/>
  <w15:chartTrackingRefBased/>
  <w15:docId w15:val="{CEA45DD0-5774-C04F-8370-535B7752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308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8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1308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2021-01-29T22:52:00Z</dcterms:created>
  <dcterms:modified xsi:type="dcterms:W3CDTF">2021-01-29T22:52:00Z</dcterms:modified>
</cp:coreProperties>
</file>